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 Chips 2025 Executive Brief</w:t>
      </w:r>
    </w:p>
    <w:p>
      <w:r>
        <w:rPr>
          <w:sz w:val="24"/>
        </w:rPr>
        <w:t>Audience questions and infrastructure decisions</w:t>
      </w:r>
    </w:p>
    <w:p>
      <w:r>
        <w:rPr>
          <w:color w:val="606060"/>
          <w:sz w:val="18"/>
        </w:rPr>
        <w:t>YouTube automatic captions  •  Partial conference coverage</w:t>
      </w:r>
    </w:p>
    <w:p>
      <w:pPr>
        <w:spacing w:before="160" w:after="240"/>
      </w:pPr>
      <w:r>
        <w:t>Inference: select the serving system as a whole. Fabric behaviour, memory access and recovery can determine the value of faster compute.</w:t>
      </w:r>
    </w:p>
    <w:p>
      <w:pPr>
        <w:pStyle w:val="Heading1"/>
      </w:pPr>
      <w:r>
        <w:t>Where audience questions concentrated</w:t>
      </w:r>
    </w:p>
    <w:p>
      <w:r>
        <w:drawing>
          <wp:inline xmlns:a="http://schemas.openxmlformats.org/drawingml/2006/main" xmlns:pic="http://schemas.openxmlformats.org/drawingml/2006/picture">
            <wp:extent cx="6446520" cy="40682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tmap_202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40682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sz w:val="18"/>
        </w:rPr>
        <w:t>Darker cells indicate more audience questions in reviewed session blocks. Both axes run from hottest to coolest. Moderator prompts are excluded.</w:t>
      </w:r>
    </w:p>
    <w:p>
      <w:r>
        <w:t>Networking leads by question volume, followed by optics. Questions about fabric mechanisms recur across vendors; optical packaging detail draws repeated follow-ups from a smaller specialist group. Model questions are concentrated in the keynote.</w:t>
      </w:r>
    </w:p>
    <w:p>
      <w:r>
        <w:rPr>
          <w:sz w:val="20"/>
        </w:rPr>
        <w:t>Question volume shows attention among participating attendees. Decision importance also depends on the consequence of the issue raised.</w:t>
      </w:r>
    </w:p>
    <w:p>
      <w:r>
        <w:br w:type="page"/>
      </w:r>
    </w:p>
    <w:p>
      <w:pPr>
        <w:pStyle w:val="Heading1"/>
      </w:pPr>
      <w:r>
        <w:t>Patterns</w:t>
      </w:r>
    </w:p>
    <w:p>
      <w:pPr>
        <w:spacing w:after="140"/>
      </w:pPr>
      <w:r>
        <w:rPr>
          <w:b/>
        </w:rPr>
        <w:t xml:space="preserve">Fabric mechanisms mattered beyond bandwidth. </w:t>
      </w:r>
      <w:r>
        <w:t>Questions probed retries, buffers, programmable controls and mixed-vendor operation. Interoperability did not establish equal performance.</w:t>
      </w:r>
    </w:p>
    <w:p>
      <w:pPr>
        <w:spacing w:after="140"/>
      </w:pPr>
      <w:r>
        <w:rPr>
          <w:b/>
        </w:rPr>
        <w:t xml:space="preserve">Optics exposed packaging and repair tradeoffs. </w:t>
      </w:r>
      <w:r>
        <w:t>Thermal paths, fiber connections and driver placement drew scrutiny. External laser replacement left internal optical-engine repair unresolved.</w:t>
      </w:r>
    </w:p>
    <w:p>
      <w:pPr>
        <w:spacing w:after="140"/>
      </w:pPr>
      <w:r>
        <w:rPr>
          <w:b/>
        </w:rPr>
        <w:t xml:space="preserve">Metric boundaries changed the interpretation. </w:t>
      </w:r>
      <w:r>
        <w:t>Marvell excluded DRAM latency from its expander figure. d-Matrix reported a core efficiency metric; NVIDIA clarified the traffic used in its noise test.</w:t>
      </w:r>
    </w:p>
    <w:p>
      <w:pPr>
        <w:spacing w:after="140"/>
      </w:pPr>
      <w:r>
        <w:rPr>
          <w:b/>
        </w:rPr>
        <w:t xml:space="preserve">Memory expansion needed an access model. </w:t>
      </w:r>
      <w:r>
        <w:t>Questions tested host paths, capacity and coherence. Marvell scoped coherence to the expander; IBM discussed added memory-path latency and capacity tradeoffs.</w:t>
      </w:r>
    </w:p>
    <w:p>
      <w:pPr>
        <w:spacing w:after="140"/>
      </w:pPr>
      <w:r>
        <w:rPr>
          <w:b/>
        </w:rPr>
        <w:t xml:space="preserve">Reliability required system-level recovery. </w:t>
      </w:r>
      <w:r>
        <w:t>Stacked-memory mitigations lacked field failure statistics. Huawei’s recovery depended on checkpoints and spare racks, not just a redundant chip.</w:t>
      </w:r>
    </w:p>
    <w:p>
      <w:pPr>
        <w:pStyle w:val="Heading1"/>
      </w:pPr>
      <w:r>
        <w:t>Implications and concrete vendor asks</w:t>
      </w:r>
    </w:p>
    <w:p>
      <w:pPr>
        <w:spacing w:after="160"/>
      </w:pPr>
      <w:r>
        <w:rPr>
          <w:sz w:val="20"/>
        </w:rPr>
        <w:t>Inference: current vendor asks derived from the historical evidence, ordered by decision impact. Timing below reflects our decision gates.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8179"/>
      </w:tblGrid>
      <w:tr>
        <w:trPr>
          <w:cantSplit/>
        </w:trPr>
        <w:tc>
          <w:tcPr>
            <w:tcW w:type="dxa" w:w="5083"/>
            <w:tcMar>
              <w:top w:w="95" w:type="dxa"/>
              <w:left w:w="95" w:type="dxa"/>
              <w:bottom w:w="95" w:type="dxa"/>
              <w:right w:w="95" w:type="dxa"/>
            </w:tcMar>
            <w:shd w:fill="E4EDF4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Decision and timing</w:t>
            </w:r>
          </w:p>
        </w:tc>
        <w:tc>
          <w:tcPr>
            <w:tcW w:type="dxa" w:w="5083"/>
            <w:tcMar>
              <w:top w:w="95" w:type="dxa"/>
              <w:left w:w="95" w:type="dxa"/>
              <w:bottom w:w="95" w:type="dxa"/>
              <w:right w:w="95" w:type="dxa"/>
            </w:tcMar>
            <w:shd w:fill="E4EDF4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Vendor ask and decision test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Scale-up and scale-out</w:t>
              <w:br/>
              <w:t>Before design freeze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NVIDIA, AMD, Intel and Broadcom: run matched mixed-vendor tests with incast, background traffic and link faults. Report loaded tail latency, retry limits and recovery. Choose on delivered job performance and operating cost.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KV-cache offload</w:t>
              <w:br/>
              <w:t>Before architecture lock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Memory and fabric suppliers: measure the complete GPU-to-memory path, including DRAM, queues, copies and synchronization. Compare local memory, RDMA and coherent options on long-context serving. Offload must lower cost while meeting TTFT and TPOT targets.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Head nodes</w:t>
              <w:br/>
              <w:t>Before shortlist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AMD and Intel: compare Venice and DMR with identical accelerator I/O, memory population and host workloads. Include cross-domain shared-data access and contention. Component latency claims cannot substitute for the full serving path.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MI400</w:t>
              <w:br/>
              <w:t>Before prototype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AMD: provide workload-matched serving results with explicit precision, quality, memory residency and whole-server energy. Test concurrent traffic and recovery. Advance only if the gain persists beyond accelerator-core measurements.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Optical reliability</w:t>
              <w:br/>
              <w:t>Before qualification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NVIDIA, Ayar Labs, Lightmatter and other optics suppliers: disclose internal engine repair, spare requirements and workload interruption. Compare ring and alternative modulation under matched thermal transients and complete power boundaries.</w:t>
            </w:r>
          </w:p>
        </w:tc>
      </w:tr>
    </w:tbl>
    <w:sectPr w:rsidR="00FC693F" w:rsidRPr="0006063C" w:rsidSect="00034616">
      <w:pgSz w:w="12240" w:h="15840"/>
      <w:pgMar w:top="907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16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2" w:lineRule="auto"/>
    </w:pPr>
    <w:rPr>
      <w:rFonts w:ascii="Calibri" w:hAnsi="Calibri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Chips 2025 Executive Brief</dc:title>
  <dc:subject>YouTube Q&amp;A patterns and infrastructure vendor asks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