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 Chips 2024 Executive Brief</w:t>
      </w:r>
    </w:p>
    <w:p>
      <w:r>
        <w:rPr>
          <w:sz w:val="24"/>
        </w:rPr>
        <w:t>Audience questions and infrastructure decisions</w:t>
      </w:r>
    </w:p>
    <w:p>
      <w:r>
        <w:rPr>
          <w:color w:val="606060"/>
          <w:sz w:val="18"/>
        </w:rPr>
        <w:t>YouTube automatic captions  •  Partial conference coverage</w:t>
      </w:r>
    </w:p>
    <w:p>
      <w:pPr>
        <w:spacing w:before="160" w:after="240"/>
      </w:pPr>
      <w:r>
        <w:t>Inference: memory topology, runtime support and cooling qualification belong in accelerator purchase criteria.</w:t>
      </w:r>
    </w:p>
    <w:p>
      <w:pPr>
        <w:pStyle w:val="Heading1"/>
      </w:pPr>
      <w:r>
        <w:t>Where audience questions concentrated</w:t>
      </w:r>
    </w:p>
    <w:p>
      <w:r>
        <w:drawing>
          <wp:inline xmlns:a="http://schemas.openxmlformats.org/drawingml/2006/main" xmlns:pic="http://schemas.openxmlformats.org/drawingml/2006/picture">
            <wp:extent cx="6446520" cy="40682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atmap_202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40682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sz w:val="18"/>
        </w:rPr>
        <w:t>Darker cells indicate more audience questions in reviewed session blocks. Both axes run from hottest to coolest. Moderator prompts are excluded.</w:t>
      </w:r>
    </w:p>
    <w:p>
      <w:r>
        <w:t>CPU sessions lead by question volume, while power and cooling lead among themes. Memory and software questions recur across CPU, accelerator and interconnect talks; specialist sparse-compute questioning is concentrated in the accelerator session.</w:t>
      </w:r>
    </w:p>
    <w:p>
      <w:r>
        <w:rPr>
          <w:sz w:val="20"/>
        </w:rPr>
        <w:t>Question volume shows attention among participating attendees. Decision importance also depends on the consequence of the issue raised.</w:t>
      </w:r>
    </w:p>
    <w:p>
      <w:r>
        <w:br w:type="page"/>
      </w:r>
    </w:p>
    <w:p>
      <w:pPr>
        <w:pStyle w:val="Heading1"/>
      </w:pPr>
      <w:r>
        <w:t>Patterns</w:t>
      </w:r>
    </w:p>
    <w:p>
      <w:pPr>
        <w:spacing w:after="140"/>
      </w:pPr>
      <w:r>
        <w:rPr>
          <w:b/>
        </w:rPr>
        <w:t xml:space="preserve">Memory placement and coherence drew sustained probing. </w:t>
      </w:r>
      <w:r>
        <w:t>AMD confirmed directed probes but left protocol details unresolved. Questions also tested HBM access efficiency, PIM interfaces and memory overhead.</w:t>
      </w:r>
    </w:p>
    <w:p>
      <w:pPr>
        <w:spacing w:after="140"/>
      </w:pPr>
      <w:r>
        <w:rPr>
          <w:b/>
        </w:rPr>
        <w:t xml:space="preserve">Runtime flexibility needed practical detail. </w:t>
      </w:r>
      <w:r>
        <w:t>Questions examined partitioning, debugging, context switching and concurrent models. Some configuration features were explained while their overhead remained unquantified.</w:t>
      </w:r>
    </w:p>
    <w:p>
      <w:pPr>
        <w:spacing w:after="140"/>
      </w:pPr>
      <w:r>
        <w:rPr>
          <w:b/>
        </w:rPr>
        <w:t xml:space="preserve">Sparse gains needed full cost accounting. </w:t>
      </w:r>
      <w:r>
        <w:t>Onyx questions exposed conversion and metadata costs. Meta separated evaluated or analytical benefits from deployed improvements.</w:t>
      </w:r>
    </w:p>
    <w:p>
      <w:pPr>
        <w:spacing w:after="140"/>
      </w:pPr>
      <w:r>
        <w:rPr>
          <w:b/>
        </w:rPr>
        <w:t xml:space="preserve">Cooling was examined at system level. </w:t>
      </w:r>
      <w:r>
        <w:t>Questions covered rack limits, maintenance, capex and prototype evidence. Chip heat removal alone did not settle the facility decision.</w:t>
      </w:r>
    </w:p>
    <w:p>
      <w:pPr>
        <w:spacing w:after="140"/>
      </w:pPr>
      <w:r>
        <w:rPr>
          <w:b/>
        </w:rPr>
        <w:t xml:space="preserve">Optical integration still needed qualification. </w:t>
      </w:r>
      <w:r>
        <w:t>Intel called OCI a technology demonstration. Laser history from pluggable modules did not establish reliability in the proposed CPU package.</w:t>
      </w:r>
    </w:p>
    <w:p>
      <w:pPr>
        <w:pStyle w:val="Heading1"/>
      </w:pPr>
      <w:r>
        <w:t>Implications and concrete vendor asks</w:t>
      </w:r>
    </w:p>
    <w:p>
      <w:pPr>
        <w:spacing w:after="160"/>
      </w:pPr>
      <w:r>
        <w:rPr>
          <w:sz w:val="20"/>
        </w:rPr>
        <w:t>Inference: current vendor asks derived from the historical evidence, ordered by decision impact. Timing below reflects our decision gates.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8179"/>
      </w:tblGrid>
      <w:tr>
        <w:trPr>
          <w:cantSplit/>
        </w:trPr>
        <w:tc>
          <w:tcPr>
            <w:tcW w:type="dxa" w:w="5083"/>
            <w:tcMar>
              <w:top w:w="95" w:type="dxa"/>
              <w:left w:w="95" w:type="dxa"/>
              <w:bottom w:w="95" w:type="dxa"/>
              <w:right w:w="95" w:type="dxa"/>
            </w:tcMar>
            <w:shd w:fill="E4EDF4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Decision and timing</w:t>
            </w:r>
          </w:p>
        </w:tc>
        <w:tc>
          <w:tcPr>
            <w:tcW w:type="dxa" w:w="5083"/>
            <w:tcMar>
              <w:top w:w="95" w:type="dxa"/>
              <w:left w:w="95" w:type="dxa"/>
              <w:bottom w:w="95" w:type="dxa"/>
              <w:right w:w="95" w:type="dxa"/>
            </w:tcMar>
            <w:shd w:fill="E4EDF4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Vendor ask and decision test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Head nodes</w:t>
              <w:br/>
              <w:t>Before shortlist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AMD and Intel: expose Venice and DMR cross-die access paths, coherence behaviour and loaded latency. Test CPU work alongside accelerator traffic. Prefer the topology with better delivered host service and memory access under contention.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MI400</w:t>
              <w:br/>
              <w:t>Before prototype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AMD: specify supported partitions, runtime reconfiguration, isolation and context-switch cost. Demonstrate concurrent models and compare sparse/quantized gains after conversion, metadata and quality costs. Require results from the intended software release.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KV-cache offload</w:t>
              <w:br/>
              <w:t>Before architecture lock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Memory and accelerator suppliers: show dynamic KV allocation, eviction, synchronization and placement across memory tiers. Test long contexts and shared prefixes. Change the design only when capacity savings survive transfer and scheduling overhead.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Scale-up and scale-out</w:t>
              <w:br/>
              <w:t>Before design freeze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Optics and network suppliers: provide loaded latency, error recovery, thermal-transient qualification and field-replaceable boundaries. Separate technology demonstrations from qualified product results before choosing package-integrated optics.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Cooling</w:t>
              <w:br/>
              <w:t>Before facility commitment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Server and cooling suppliers: price the full retrofit, residual air cooling and maintenance burden. Measure sustained workload energy and rack flow limits. Accept a design on facility economics and availability, not a chip-cooling result alone.</w:t>
            </w:r>
          </w:p>
        </w:tc>
      </w:tr>
    </w:tbl>
    <w:sectPr w:rsidR="00FC693F" w:rsidRPr="0006063C" w:rsidSect="00034616">
      <w:pgSz w:w="12240" w:h="15840"/>
      <w:pgMar w:top="907" w:right="1037" w:bottom="864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16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2" w:lineRule="auto"/>
    </w:pPr>
    <w:rPr>
      <w:rFonts w:ascii="Calibri" w:hAnsi="Calibri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2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Chips 2024 Executive Brief</dc:title>
  <dc:subject>YouTube Q&amp;A patterns and infrastructure vendor asks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