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 Chips 2023 Executive Brief</w:t>
      </w:r>
    </w:p>
    <w:p>
      <w:r>
        <w:rPr>
          <w:sz w:val="24"/>
        </w:rPr>
        <w:t>Audience questions and infrastructure decisions</w:t>
      </w:r>
    </w:p>
    <w:p>
      <w:r>
        <w:rPr>
          <w:color w:val="606060"/>
          <w:sz w:val="18"/>
        </w:rPr>
        <w:t>YouTube automatic captions  •  Partial conference coverage</w:t>
      </w:r>
    </w:p>
    <w:p>
      <w:pPr>
        <w:spacing w:before="160" w:after="240"/>
      </w:pPr>
      <w:r>
        <w:t>Inference: software compatibility and validated system efficiency should carry as much weight as core and accelerator specifications.</w:t>
      </w:r>
    </w:p>
    <w:p>
      <w:pPr>
        <w:pStyle w:val="Heading1"/>
      </w:pPr>
      <w:r>
        <w:t>Where audience questions concentrated</w:t>
      </w:r>
    </w:p>
    <w:p>
      <w:r>
        <w:drawing>
          <wp:inline xmlns:a="http://schemas.openxmlformats.org/drawingml/2006/main" xmlns:pic="http://schemas.openxmlformats.org/drawingml/2006/picture">
            <wp:extent cx="6446520" cy="40682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atmap_202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40682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20"/>
      </w:pPr>
      <w:r>
        <w:rPr>
          <w:sz w:val="18"/>
        </w:rPr>
        <w:t>Darker cells indicate more audience questions in reviewed session blocks. Both axes run from hottest to coolest. Moderator prompts are excluded.</w:t>
      </w:r>
    </w:p>
    <w:p>
      <w:r>
        <w:t>FPGAs and cooling attract the most questions in the reviewed material. Cooling volume is concentrated in the Fabric8 Labs exchange; software and measurement questions spread across more talks and affiliations.</w:t>
      </w:r>
    </w:p>
    <w:p>
      <w:r>
        <w:rPr>
          <w:sz w:val="20"/>
        </w:rPr>
        <w:t>Question volume shows attention among participating attendees. Decision importance also depends on the consequence of the issue raised.</w:t>
      </w:r>
    </w:p>
    <w:p>
      <w:r>
        <w:br w:type="page"/>
      </w:r>
    </w:p>
    <w:p>
      <w:pPr>
        <w:pStyle w:val="Heading1"/>
      </w:pPr>
      <w:r>
        <w:t>Patterns</w:t>
      </w:r>
    </w:p>
    <w:p>
      <w:pPr>
        <w:spacing w:after="140"/>
      </w:pPr>
      <w:r>
        <w:rPr>
          <w:b/>
        </w:rPr>
        <w:t xml:space="preserve">Software compatibility is part of the architecture. </w:t>
      </w:r>
      <w:r>
        <w:t>ROCm coverage, vector support and compiler responsibility drew questions across vendors. A hardware feature did not establish a usable software path.</w:t>
      </w:r>
    </w:p>
    <w:p>
      <w:pPr>
        <w:spacing w:after="140"/>
      </w:pPr>
      <w:r>
        <w:rPr>
          <w:b/>
        </w:rPr>
        <w:t xml:space="preserve">Claims were tested against real workloads. </w:t>
      </w:r>
      <w:r>
        <w:t>Questions asked what had been built and measured. Intel distinguished physical graph-compute testbeds from larger modeled configurations.</w:t>
      </w:r>
    </w:p>
    <w:p>
      <w:pPr>
        <w:spacing w:after="140"/>
      </w:pPr>
      <w:r>
        <w:rPr>
          <w:b/>
        </w:rPr>
        <w:t xml:space="preserve">Packaging raised integration questions. </w:t>
      </w:r>
      <w:r>
        <w:t>Chiplet arrangement, verification, materials and assembly all drew scrutiny. Physical integration answers were more concrete than future interoperability plans.</w:t>
      </w:r>
    </w:p>
    <w:p>
      <w:pPr>
        <w:spacing w:after="140"/>
      </w:pPr>
      <w:r>
        <w:rPr>
          <w:b/>
        </w:rPr>
        <w:t xml:space="preserve">Cooling scrutiny included operational maturity. </w:t>
      </w:r>
      <w:r>
        <w:t>Google described favorable operating experience. Fabric8 Labs said lifetime testing remained outstanding, despite promising thermal results.</w:t>
      </w:r>
    </w:p>
    <w:p>
      <w:pPr>
        <w:spacing w:after="140"/>
      </w:pPr>
      <w:r>
        <w:rPr>
          <w:b/>
        </w:rPr>
        <w:t xml:space="preserve">Precision gains depended on model fit. </w:t>
      </w:r>
      <w:r>
        <w:t>Questions tested sparsity structure, format choice and accuracy. Tutorial answers emphasized sensitivity and workload dependence.</w:t>
      </w:r>
    </w:p>
    <w:p>
      <w:pPr>
        <w:pStyle w:val="Heading1"/>
      </w:pPr>
      <w:r>
        <w:t>Implications and concrete vendor asks</w:t>
      </w:r>
    </w:p>
    <w:p>
      <w:pPr>
        <w:spacing w:after="160"/>
      </w:pPr>
      <w:r>
        <w:rPr>
          <w:sz w:val="20"/>
        </w:rPr>
        <w:t>Inference: current vendor asks derived from the historical evidence, ordered by decision impact. Timing below reflects our decision gates.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8179"/>
      </w:tblGrid>
      <w:tr>
        <w:trPr>
          <w:cantSplit/>
        </w:trPr>
        <w:tc>
          <w:tcPr>
            <w:tcW w:type="dxa" w:w="5083"/>
            <w:tcMar>
              <w:top w:w="95" w:type="dxa"/>
              <w:left w:w="95" w:type="dxa"/>
              <w:bottom w:w="95" w:type="dxa"/>
              <w:right w:w="95" w:type="dxa"/>
            </w:tcMar>
            <w:shd w:fill="E4EDF4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Decision and timing</w:t>
            </w:r>
          </w:p>
        </w:tc>
        <w:tc>
          <w:tcPr>
            <w:tcW w:type="dxa" w:w="5083"/>
            <w:tcMar>
              <w:top w:w="95" w:type="dxa"/>
              <w:left w:w="95" w:type="dxa"/>
              <w:bottom w:w="95" w:type="dxa"/>
              <w:right w:w="95" w:type="dxa"/>
            </w:tcMar>
            <w:shd w:fill="E4EDF4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Vendor ask and decision test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Head nodes</w:t>
              <w:br/>
              <w:t>Before shortlist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AMD and Intel: provide Venice and DMR ISA, compiler, memory-topology and accelerator-I/O support matrices. Run identical host services under memory and I/O contention. Prefer the platform that preserves throughput and tail latency with less migration work.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MI400</w:t>
              <w:br/>
              <w:t>Before prototype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AMD: demonstrate supported model paths, format accuracy, sparsity constraints and CPU–GPU handoff in the intended software release. Require sustained serving throughput at the same quality target; nominal compute alone cannot decide.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Scale-up and scale-out</w:t>
              <w:br/>
              <w:t>Before design freeze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Fabric suppliers: separate physical-system results from modeled scale. Supply topology, workload and failure-injection tests. Reconsider the topology if measured collectives or recovery erase its cost advantage.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KV-cache offload</w:t>
              <w:br/>
              <w:t>Before architecture lock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CPU, accelerator and memory suppliers: benchmark local memory versus peer or host-memory access using shared-prefix traces. Include copies, synchronization and contention. Offload wins only if useful capacity lowers serving cost within latency targets.</w:t>
            </w:r>
          </w:p>
        </w:tc>
      </w:tr>
      <w:tr>
        <w:trPr>
          <w:cantSplit/>
        </w:trPr>
        <w:tc>
          <w:tcPr>
            <w:tcW w:type="dxa" w:w="1944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/>
                <w:sz w:val="21"/>
              </w:rPr>
              <w:t>Cooling</w:t>
              <w:br/>
              <w:t>Before qualification</w:t>
            </w:r>
          </w:p>
        </w:tc>
        <w:tc>
          <w:tcPr>
            <w:tcW w:type="dxa" w:w="8179"/>
            <w:tcMar>
              <w:top w:w="95" w:type="dxa"/>
              <w:left w:w="95" w:type="dxa"/>
              <w:bottom w:w="95" w:type="dxa"/>
              <w:right w:w="95" w:type="dxa"/>
            </w:tcMar>
            <w:shd w:fill="F5F7F9"/>
          </w:tcPr>
          <w:p>
            <w:pPr>
              <w:spacing w:after="20" w:line="240" w:lineRule="auto"/>
            </w:pPr>
            <w:r>
              <w:rPr>
                <w:b w:val="0"/>
                <w:sz w:val="21"/>
              </w:rPr>
              <w:t>Server and cold-plate suppliers: provide lifetime, filtration, corrosion and maintenance results at the intended coolant conditions. Reject thermal-only comparisons that omit pumping power or service cost.</w:t>
            </w:r>
          </w:p>
        </w:tc>
      </w:tr>
    </w:tbl>
    <w:sectPr w:rsidR="00FC693F" w:rsidRPr="0006063C" w:rsidSect="00034616">
      <w:pgSz w:w="12240" w:h="15840"/>
      <w:pgMar w:top="907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16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2" w:lineRule="auto"/>
    </w:pPr>
    <w:rPr>
      <w:rFonts w:ascii="Calibri" w:hAnsi="Calibri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2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Chips 2023 Executive Brief</dc:title>
  <dc:subject>YouTube Q&amp;A patterns and infrastructure vendor asks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