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2021 Executive Brief</w:t>
      </w:r>
    </w:p>
    <w:p>
      <w:r>
        <w:rPr>
          <w:sz w:val="22"/>
        </w:rPr>
        <w:t>Audience questions and infrastructure decisions</w:t>
      </w:r>
    </w:p>
    <w:p>
      <w:r>
        <w:rPr>
          <w:sz w:val="18"/>
        </w:rPr>
        <w:t>Official YouTube automatic captions • 14/16 recordings recovered • Caption review; not independently audio-verified</w:t>
      </w:r>
    </w:p>
    <w:p>
      <w:r>
        <w:rPr>
          <w:b/>
        </w:rPr>
        <w:t xml:space="preserve">Thesis — analyst inference. </w:t>
      </w:r>
      <w:r>
        <w:t>The recovered Q&amp;A tests specialization at system boundaries: memory and ingestion, software portability, transport and ordering, numerical behavior and package power. These dependencies qualify useful compute; they do not establish that a particular architecture fails.</w:t>
      </w:r>
    </w:p>
    <w:p>
      <w:pPr>
        <w:pStyle w:val="Heading1"/>
      </w:pPr>
      <w:r>
        <w:t>Where audience questions concentrated</w:t>
      </w:r>
    </w:p>
    <w:p>
      <w:r>
        <w:drawing>
          <wp:inline xmlns:a="http://schemas.openxmlformats.org/drawingml/2006/main" xmlns:pic="http://schemas.openxmlformats.org/drawingml/2006/picture">
            <wp:extent cx="6419088" cy="28010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t_Chips_2021_QA_Heatma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801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>Darker cells mean more recovered asks; one common raw-count scale. Both axes rank by total asks. Hatched columns mean missing captions; * marks partial exports. Values are in the companion CSV.</w:t>
      </w:r>
    </w:p>
    <w:p>
      <w:r>
        <w:t>163 eligible audience asks. Leading themes: execution and dataflow 29 (17.8%); measurement and benchmarks 20 (12.3%); software and programming 17 (10.4%). Infrastructure and data processors attract the most eligible asks. Caption response gaps are substantial: unclear status describes missing or unintelligible evidence, not proof of an unanswered question in the recording.</w:t>
      </w:r>
    </w:p>
    <w:p>
      <w:r>
        <w:rPr>
          <w:sz w:val="18"/>
        </w:rPr>
        <w:t>Caption response status in the audience subset: answered 54; partial 38; unanswered 1; unclear 64; deflected 2; deferred 4. Unclear means missing/unintelligible evidence; answers are not independently verified.</w:t>
      </w:r>
    </w:p>
    <w:p>
      <w:r>
        <w:rPr>
          <w:sz w:val="18"/>
        </w:rPr>
        <w:t>Session key: S1 Server Processors · S2 Academic Spinout Chips · S3 Infrastructure and Data Processors · S4 Enabling Technologies · S5 ML Inference for the Cloud · S6 ML and Computation Platforms · S7 Graphics and Video · S8 New Technologies · K1 Does Artificial Intelligence Require Artificial Architects? · K2 Skydio Autonomy Engine: Enabling the Next Generation of Autonomous Flight · K3 Architectural Challenges: AI Chips, Decision Support, and High Performance Computing · T1.1 Machine Learning Performance and Challenges, Part 1 · T1.2 Machine Learning Performance and Challenges, Part 2 · T1.3 Machine Learning Performance and Challenges, Part 3 · T2.1 Advanced Packaging, Part 1 · T2.2 Advanced Packaging, Part 2</w:t>
      </w:r>
    </w:p>
    <w:p>
      <w:r>
        <w:rPr>
          <w:sz w:val="18"/>
        </w:rPr>
        <w:t>Counting rule: one independently answerable technical ask, one primary theme. 246 audit rows; 83 excluded. Recorded origins: 170 audience, 24 moderator, 52 unknown. Unintelligible or out-of-scope asks are also excluded. Missing captions: K3, T2.2. Attention is not importance. Unequal Q&amp;A time and caption loss limit comparisons. No Slack content was accessed.</w:t>
      </w:r>
    </w:p>
    <w:p>
      <w:pPr>
        <w:spacing w:after="0"/>
      </w:pPr>
      <w:hyperlink r:id="rId11">
        <w:r>
          <w:rPr>
            <w:color w:val="24516A"/>
          </w:rPr>
          <w:t xml:space="preserve">Official archive</w:t>
        </w:r>
      </w:hyperlink>
      <w:r>
        <w:rPr>
          <w:sz w:val="18"/>
        </w:rPr>
        <w:t xml:space="preserve"> · </w:t>
      </w:r>
      <w:hyperlink r:id="rId12">
        <w:r>
          <w:rPr>
            <w:color w:val="24516A"/>
          </w:rPr>
          <w:t xml:space="preserve">Report, counts and source anchors</w:t>
        </w:r>
      </w:hyperlink>
    </w:p>
    <w:p>
      <w:r>
        <w:br w:type="page"/>
      </w:r>
    </w:p>
    <w:p>
      <w:pPr>
        <w:pStyle w:val="Heading1"/>
      </w:pPr>
      <w:r>
        <w:t>Patterns</w:t>
      </w:r>
    </w:p>
    <w:p>
      <w:r>
        <w:rPr>
          <w:b/>
        </w:rPr>
        <w:t xml:space="preserve">Feed the accelerator before judging arithmetic. </w:t>
      </w:r>
      <w:r>
        <w:t>Samsung attributed the gap between PIM bandwidth uplift and application speedup to unchanged host and ordering overheads. Facebook emphasized ingestion benchmarking and reuse. Translation, DRAM-bank behavior and preprocessing still limited useful throughput.</w:t>
      </w:r>
      <w:hyperlink r:id="rId13">
        <w:r>
          <w:rPr>
            <w:color w:val="24516A"/>
          </w:rPr>
          <w:t xml:space="preserve"> [S4 88:51]</w:t>
        </w:r>
      </w:hyperlink>
    </w:p>
    <w:p>
      <w:r>
        <w:rPr>
          <w:b/>
        </w:rPr>
        <w:t xml:space="preserve">The software path is part of the architecture. </w:t>
      </w:r>
      <w:r>
        <w:t>Skydio described expensive architecture-specific optimization during porting. Alder Lake Linux-support questions survived without recoverable answers. Facebook's merged reads were client software. An engine or instruction did not establish a ready application path.</w:t>
      </w:r>
      <w:hyperlink r:id="rId14">
        <w:r>
          <w:rPr>
            <w:color w:val="24516A"/>
          </w:rPr>
          <w:t xml:space="preserve"> [K2 47:07]</w:t>
        </w:r>
      </w:hyperlink>
    </w:p>
    <w:p>
      <w:r>
        <w:rPr>
          <w:b/>
        </w:rPr>
        <w:t xml:space="preserve">Transport and ordering define integration. </w:t>
      </w:r>
      <w:r>
        <w:t>IBM described scoped ordering around Telum's accelerator; Enflame used noncoherent copies and mailboxes. Mount Evans' transport details were deferred. Compatibility, coherence and reliable transport were distinct properties requiring separate evidence.</w:t>
      </w:r>
      <w:hyperlink r:id="rId15">
        <w:r>
          <w:rPr>
            <w:color w:val="24516A"/>
          </w:rPr>
          <w:t xml:space="preserve"> [S1 97:29]</w:t>
        </w:r>
      </w:hyperlink>
    </w:p>
    <w:p>
      <w:r>
        <w:rPr>
          <w:b/>
        </w:rPr>
        <w:t xml:space="preserve">Precision needs replay and quality evidence. </w:t>
      </w:r>
      <w:r>
        <w:t>Graphcore described controlled seeds for stochastic-rounding replay. Xilinx distinguished BF16 from block floating point; Anton selected formats by pipeline stage. Efficiency depended on numerical behavior and workload quality rather than the format name alone.</w:t>
      </w:r>
      <w:hyperlink r:id="rId16">
        <w:r>
          <w:rPr>
            <w:color w:val="24516A"/>
          </w:rPr>
          <w:t xml:space="preserve"> [S6 29:24]</w:t>
        </w:r>
      </w:hyperlink>
    </w:p>
    <w:p>
      <w:r>
        <w:rPr>
          <w:b/>
        </w:rPr>
        <w:t xml:space="preserve">Density and power need separate proof. </w:t>
      </w:r>
      <w:r>
        <w:t>Intel discussed PowerVia with stacking and EMIB's yield/reach tradeoffs. Anton justified a global clock mesh through latency and power. TSMC cooling questions lacked useful caption answers; package scalability did not establish facility feasibility.</w:t>
      </w:r>
      <w:hyperlink r:id="rId17">
        <w:r>
          <w:rPr>
            <w:color w:val="24516A"/>
          </w:rPr>
          <w:t xml:space="preserve"> [T2.1 52:49]</w:t>
        </w:r>
      </w:hyperlink>
    </w:p>
    <w:p>
      <w:pPr>
        <w:pStyle w:val="Heading1"/>
      </w:pPr>
      <w:r>
        <w:t>Implications and concrete vendor asks</w:t>
      </w:r>
    </w:p>
    <w:p>
      <w:r>
        <w:rPr>
          <w:sz w:val="20"/>
        </w:rPr>
        <w:t>Analyst inference: these present-day acceptance tests follow from historical uncertainties. Historical statements and roadmap promises do not establish later delivery.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86"/>
      </w:tblGrid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Decision and timing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Specialized compute</w:t>
              <w:br/>
              <w:t>Before selection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Run matched end-to-end workloads including ingestion, host orchestration and storage. Measure utilization, tails and whole-system energy against a CPU baseline; profile the remaining bottleneck.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Software migration</w:t>
              <w:br/>
              <w:t>Before resource commitment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Request versioned compiler/runtime/kernel support and a reproducible port. Measure engineering effort, rejected operators and performance against the deployment schedule.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Accelerator/DPU integration</w:t>
              <w:br/>
              <w:t>Before host commitment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Specify coherence, ordering, transport and management separately. Test contended transfers, mixed hosts and recovery with versioned software and correctness checks.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Reduced precision</w:t>
              <w:br/>
              <w:t>Before model approval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Compare quality and convergence across formats and seeds. Verify deterministic replay; identify operations requiring higher precision and include their overhead.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Package and cooling</w:t>
              <w:br/>
              <w:t>Before platform commitment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Request design-kit access, process/yield evidence and steady/transient power. Test expected inlet temperature and flow, including facility energy and service limits.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37" w:bottom="864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Hot Chips Q&amp;A research • 2 October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5" w:lineRule="auto"/>
    </w:pPr>
    <w:rPr>
      <w:rFonts w:ascii="Calibri" w:hAnsi="Calibri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45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45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1111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5" w:lineRule="auto"/>
      <w:contextualSpacing/>
    </w:pPr>
    <w:rPr>
      <w:rFonts w:asciiTheme="majorHAnsi" w:eastAsiaTheme="majorEastAsia" w:hAnsiTheme="majorHAnsi" w:cstheme="majorBidi" w:ascii="Calibri" w:hAnsi="Calibri"/>
      <w:color w:val="111111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hc33.hotchips.org/" TargetMode="External"/><Relationship Id="rId12" Type="http://schemas.openxmlformats.org/officeDocument/2006/relationships/hyperlink" Target="https://ai.wilwan01.chatgpt.site/hot-chips/2021.html" TargetMode="External"/><Relationship Id="rId13" Type="http://schemas.openxmlformats.org/officeDocument/2006/relationships/hyperlink" Target="https://www.youtube.com/watch?v=Jv9bZcM8RUA&amp;t=5331" TargetMode="External"/><Relationship Id="rId14" Type="http://schemas.openxmlformats.org/officeDocument/2006/relationships/hyperlink" Target="https://www.youtube.com/watch?v=5nWnCwO8jIk&amp;t=2827" TargetMode="External"/><Relationship Id="rId15" Type="http://schemas.openxmlformats.org/officeDocument/2006/relationships/hyperlink" Target="https://www.youtube.com/watch?v=ID8ZS74yqYQ&amp;t=5849" TargetMode="External"/><Relationship Id="rId16" Type="http://schemas.openxmlformats.org/officeDocument/2006/relationships/hyperlink" Target="https://www.youtube.com/watch?v=mJNln5LCLC8&amp;t=1764" TargetMode="External"/><Relationship Id="rId17" Type="http://schemas.openxmlformats.org/officeDocument/2006/relationships/hyperlink" Target="https://www.youtube.com/watch?v=k2CognMJ_9I&amp;t=3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