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 Chips 2019 Executive Brief</w:t>
      </w:r>
    </w:p>
    <w:p>
      <w:r>
        <w:rPr>
          <w:sz w:val="22"/>
        </w:rPr>
        <w:t>Audience questions and infrastructure decisions</w:t>
      </w:r>
    </w:p>
    <w:p>
      <w:r>
        <w:rPr>
          <w:sz w:val="18"/>
        </w:rPr>
        <w:t>Official YouTube automatic captions • 13/13 recordings recovered • Caption review; not independently audio-verified</w:t>
      </w:r>
    </w:p>
    <w:p>
      <w:r>
        <w:rPr>
          <w:b/>
        </w:rPr>
        <w:t xml:space="preserve">Thesis — analyst inference. </w:t>
      </w:r>
      <w:r>
        <w:t>Accelerator differentiation was becoming a system problem. Memory placement, fabric behavior and the software contract repeatedly qualified arithmetic throughput, while recorded questions pressed architectural ambitions toward implementable interfaces and workload evidence.</w:t>
      </w:r>
    </w:p>
    <w:p>
      <w:pPr>
        <w:pStyle w:val="Heading1"/>
      </w:pPr>
      <w:r>
        <w:t>Where audience questions concentrated</w:t>
      </w:r>
    </w:p>
    <w:p>
      <w:r>
        <w:drawing>
          <wp:inline xmlns:a="http://schemas.openxmlformats.org/drawingml/2006/main" xmlns:pic="http://schemas.openxmlformats.org/drawingml/2006/picture">
            <wp:extent cx="6419088" cy="28010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t_Chips_2019_QA_Heatma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8010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>Darker cells mean more recovered asks; one common raw-count scale. Both axes rank by total asks. Hatched columns mean missing captions; * marks partial exports. Values are in the companion CSV.</w:t>
      </w:r>
    </w:p>
    <w:p>
      <w:r>
        <w:t>163 eligible audience asks. Leading themes: scale-up and scale-out fabrics 28 (17.2%); execution and dataflow 23 (14.1%); measurement and benchmarks 20 (12.3%). Tutorials contribute a substantial share of the recovered asks. Their longer question opportunities, conservative attribution and differing subject matter affect the annual distribution.</w:t>
      </w:r>
    </w:p>
    <w:p>
      <w:r>
        <w:rPr>
          <w:sz w:val="18"/>
        </w:rPr>
        <w:t>Caption response status in the audience subset: partial 65; deflected 7; answered 75; deferred 9; unanswered 7. Unclear means missing/unintelligible evidence; answers are not independently verified.</w:t>
      </w:r>
    </w:p>
    <w:p>
      <w:r>
        <w:rPr>
          <w:sz w:val="18"/>
        </w:rPr>
        <w:t>Session key: K1 AMD keynote · K2 TSMC keynote · S1 General Purpose Compute · S2 Memory · S3 Methodology and ML Systems · S4 ML Training · S5 Embedded and Auto · S6 ML Inference · S7 Interconnects · S8 Packaging and Security · S9 Graphics and AR · T1 Acceleration in the Cloud · T2 RISC-V</w:t>
      </w:r>
    </w:p>
    <w:p>
      <w:r>
        <w:rPr>
          <w:sz w:val="18"/>
        </w:rPr>
        <w:t>Counting rule: one independently answerable technical ask, one primary theme. 211 audit rows; 48 excluded. Recorded origins: 163 audience, 4 moderator, 44 unknown. Unintelligible or out-of-scope asks are also excluded. Another 8 caption gaps/out-of-scope items are logged separately. Attention is not importance. Unequal Q&amp;A time and caption loss limit comparisons. No Slack content was accessed.</w:t>
      </w:r>
    </w:p>
    <w:p>
      <w:pPr>
        <w:spacing w:after="0"/>
      </w:pPr>
      <w:hyperlink r:id="rId11">
        <w:r>
          <w:rPr>
            <w:color w:val="24516A"/>
          </w:rPr>
          <w:t xml:space="preserve">Official archive</w:t>
        </w:r>
      </w:hyperlink>
      <w:r>
        <w:rPr>
          <w:sz w:val="18"/>
        </w:rPr>
        <w:t xml:space="preserve"> · </w:t>
      </w:r>
      <w:hyperlink r:id="rId12">
        <w:r>
          <w:rPr>
            <w:color w:val="24516A"/>
          </w:rPr>
          <w:t xml:space="preserve">Report, counts and source anchors</w:t>
        </w:r>
      </w:hyperlink>
    </w:p>
    <w:p>
      <w:r>
        <w:br w:type="page"/>
      </w:r>
    </w:p>
    <w:p>
      <w:pPr>
        <w:pStyle w:val="Heading1"/>
      </w:pPr>
      <w:r>
        <w:t>Patterns</w:t>
      </w:r>
    </w:p>
    <w:p>
      <w:r>
        <w:rPr>
          <w:b/>
        </w:rPr>
        <w:t xml:space="preserve">Interconnect names leave mechanisms unresolved. </w:t>
      </w:r>
      <w:r>
        <w:t>Arm's cache stashing needed software and interface prerequisites; Xilinx qualified its nonblocking-mesh claim through traffic-class isolation. AWS discussed placement groups and packet-aware limiting. Topology and peak link rate did not describe congestion behavior.</w:t>
      </w:r>
      <w:hyperlink r:id="rId13">
        <w:r>
          <w:rPr>
            <w:color w:val="24516A"/>
          </w:rPr>
          <w:t xml:space="preserve"> [S1 66:07]</w:t>
        </w:r>
      </w:hyperlink>
    </w:p>
    <w:p>
      <w:r>
        <w:rPr>
          <w:b/>
        </w:rPr>
        <w:t xml:space="preserve">Peak compute needs workload evidence. </w:t>
      </w:r>
      <w:r>
        <w:t>Huawei and Spring Crest faced benchmark and MLPerf questions. Cerebras deferred working-system performance. Microsoft's compression comparison used different algorithms. Those answers exposed comparison boundaries that peak throughput alone could not resolve.</w:t>
      </w:r>
      <w:hyperlink r:id="rId14">
        <w:r>
          <w:rPr>
            <w:color w:val="24516A"/>
          </w:rPr>
          <w:t xml:space="preserve"> [S4 30:23]</w:t>
        </w:r>
      </w:hyperlink>
    </w:p>
    <w:p>
      <w:r>
        <w:rPr>
          <w:b/>
        </w:rPr>
        <w:t xml:space="preserve">Sparse workloads make placement decisive. </w:t>
      </w:r>
      <w:r>
        <w:t>Facebook described profile-guided embedding partitioning, local bandwidth versus distributed latency, and prefetch overfetch. UPMEM DPUs communicated through the CPU. Irregular accesses and host work belonged in accelerator sizing alongside dense kernels.</w:t>
      </w:r>
      <w:hyperlink r:id="rId15">
        <w:r>
          <w:rPr>
            <w:color w:val="24516A"/>
          </w:rPr>
          <w:t xml:space="preserve"> [S2 25:52]</w:t>
        </w:r>
      </w:hyperlink>
    </w:p>
    <w:p>
      <w:r>
        <w:rPr>
          <w:b/>
        </w:rPr>
        <w:t xml:space="preserve">Numerical formats carry software obligations. </w:t>
      </w:r>
      <w:r>
        <w:t>Intel linked its Flexpoint-to-BF16 change to software scaling. Google's BF16 and array-size answers described tested models and compiler co-design. Datatype support alone did not establish convergence, rounding behavior or utilization on real tensor shapes.</w:t>
      </w:r>
      <w:hyperlink r:id="rId16">
        <w:r>
          <w:rPr>
            <w:color w:val="24516A"/>
          </w:rPr>
          <w:t xml:space="preserve"> [S4 61:07]</w:t>
        </w:r>
      </w:hyperlink>
    </w:p>
    <w:p>
      <w:r>
        <w:rPr>
          <w:b/>
        </w:rPr>
        <w:t xml:space="preserve">Integration adds power, test and trust gates. </w:t>
      </w:r>
      <w:r>
        <w:t>Lakefield described known-good-die testing but left stacking limits unquantified. Tesla's dual-SoC safety intent did not specify disagreement handling. Jintide's monitor answer did not establish a complete host trust boundary.</w:t>
      </w:r>
      <w:hyperlink r:id="rId17">
        <w:r>
          <w:rPr>
            <w:color w:val="24516A"/>
          </w:rPr>
          <w:t xml:space="preserve"> [S8 26:47]</w:t>
        </w:r>
      </w:hyperlink>
    </w:p>
    <w:p>
      <w:pPr>
        <w:pStyle w:val="Heading1"/>
      </w:pPr>
      <w:r>
        <w:t>Implications and concrete vendor asks</w:t>
      </w:r>
    </w:p>
    <w:p>
      <w:r>
        <w:rPr>
          <w:sz w:val="20"/>
        </w:rPr>
        <w:t>Analyst inference: these present-day acceptance tests follow from historical uncertainties. Historical statements and roadmap promises do not establish later delivery.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86"/>
      </w:tblGrid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  <w:shd w:fill="E9EEF2"/>
          </w:tcPr>
          <w:p>
            <w:pPr>
              <w:spacing w:after="20" w:line="240" w:lineRule="auto"/>
            </w:pPr>
            <w:r>
              <w:rPr>
                <w:b/>
                <w:sz w:val="20"/>
              </w:rPr>
              <w:t>Decision and timing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  <w:shd w:fill="E9EEF2"/>
          </w:tcPr>
          <w:p>
            <w:pPr>
              <w:spacing w:after="20" w:line="240" w:lineRule="auto"/>
            </w:pPr>
            <w:r>
              <w:rPr>
                <w:b/>
                <w:sz w:val="20"/>
              </w:rPr>
              <w:t>Vendor ask and decision test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Fabric/interface commitment</w:t>
              <w:br/>
              <w:t>Before topology selection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Specify ordering, traffic isolation, stashing prerequisites and forward progress. Test mixed traffic, congestion and recovery at the workload's tail-latency target.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Accelerator sizing</w:t>
              <w:br/>
              <w:t>Before using scaling graphs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Require reproducible matched algorithms, precision, batch and quality. Measure host, memory and network utilization with useful end-to-end throughput.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Sparse memory/CPU balance</w:t>
              <w:br/>
              <w:t>Before deployment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Sweep embedding size, skew, locality and profile drift. Include ingestion and updates; measure prefetch overfetch, latency and effective bandwidth.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Datatype/compiler contract</w:t>
              <w:br/>
              <w:t>Before model commitment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Verify convergence, rounding and overflow at fixed quality. Profile tensor shapes and schedules; include rejected operators and porting cost in acceptance.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Integrated platform readiness</w:t>
              <w:br/>
              <w:t>Before sign-off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Request stack power, thermal headroom, die-test coverage and fault handling. Inject failures and disagreement; verify monitor privileges and service recovery.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37" w:bottom="864" w:left="1037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Hot Chips Q&amp;A research • 2 October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45" w:lineRule="auto"/>
    </w:pPr>
    <w:rPr>
      <w:rFonts w:ascii="Calibri" w:hAnsi="Calibri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45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1111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45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1111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5" w:lineRule="auto"/>
      <w:contextualSpacing/>
    </w:pPr>
    <w:rPr>
      <w:rFonts w:asciiTheme="majorHAnsi" w:eastAsiaTheme="majorEastAsia" w:hAnsiTheme="majorHAnsi" w:cstheme="majorBidi" w:ascii="Calibri" w:hAnsi="Calibri"/>
      <w:color w:val="111111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hc31.hotchips.org/" TargetMode="External"/><Relationship Id="rId12" Type="http://schemas.openxmlformats.org/officeDocument/2006/relationships/hyperlink" Target="https://ai.wilwan01.chatgpt.site/hot-chips/2019.html" TargetMode="External"/><Relationship Id="rId13" Type="http://schemas.openxmlformats.org/officeDocument/2006/relationships/hyperlink" Target="https://www.youtube.com/watch?v=QU3PHKdj8wQ&amp;t=3967" TargetMode="External"/><Relationship Id="rId14" Type="http://schemas.openxmlformats.org/officeDocument/2006/relationships/hyperlink" Target="https://www.youtube.com/watch?v=QF9oObzMBpU&amp;t=1823" TargetMode="External"/><Relationship Id="rId15" Type="http://schemas.openxmlformats.org/officeDocument/2006/relationships/hyperlink" Target="https://www.youtube.com/watch?v=KbseqGLveFk&amp;t=1552" TargetMode="External"/><Relationship Id="rId16" Type="http://schemas.openxmlformats.org/officeDocument/2006/relationships/hyperlink" Target="https://www.youtube.com/watch?v=QF9oObzMBpU&amp;t=3667" TargetMode="External"/><Relationship Id="rId17" Type="http://schemas.openxmlformats.org/officeDocument/2006/relationships/hyperlink" Target="https://www.youtube.com/watch?v=2UhC1QqiSxo&amp;t=16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