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 Chips 2017–2026 Executive Brief</w:t>
      </w:r>
    </w:p>
    <w:p>
      <w:r>
        <w:rPr>
          <w:sz w:val="22"/>
        </w:rPr>
        <w:t>Audience questions and infrastructure decisions</w:t>
      </w:r>
    </w:p>
    <w:p>
      <w:r>
        <w:rPr>
          <w:sz w:val="18"/>
        </w:rPr>
        <w:t>Ten-year descriptive comparison • Official-recording reviews for 2017–2021 • 2026 retains its prior mixed-source aggregate</w:t>
      </w:r>
    </w:p>
    <w:p>
      <w:r>
        <w:rPr>
          <w:b/>
        </w:rPr>
        <w:t xml:space="preserve">Thesis — analyst inference. </w:t>
      </w:r>
      <w:r>
        <w:t>Across ten conference years, the mechanisms changed while the qualification problems persisted: data placement, useful software, complete measurement and physical or security boundaries. The earlier recordings extend those concerns back before today's large serving systems; they do not prove a smooth shift in industry demand.</w:t>
      </w:r>
    </w:p>
    <w:p>
      <w:pPr>
        <w:pStyle w:val="Heading1"/>
      </w:pPr>
      <w:r>
        <w:t>How recorded question attention changed</w:t>
      </w:r>
    </w:p>
    <w:p>
      <w:r>
        <w:drawing>
          <wp:inline xmlns:a="http://schemas.openxmlformats.org/drawingml/2006/main" xmlns:pic="http://schemas.openxmlformats.org/drawingml/2006/picture">
            <wp:extent cx="6419088" cy="27121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t_Chips_2017_2026_Trend_Heatmap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19088" cy="27121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>Gradient-only cells use one global percentage scale. Years run chronologically; themes rank by mean within-year share, giving each year equal weight. Counts and denominators are available in CSV.</w:t>
      </w:r>
    </w:p>
    <w:p>
      <w:r>
        <w:t>The new historical years show why a single trend label is insufficient. Security concentrates in 2018, while other years expose different mixes of execution, placement and measurement questions. The later reviews add larger-scale fabric, packaging, cooling and serving detail; annual shares remain conditioned on the reviewed sources.</w:t>
      </w:r>
    </w:p>
    <w:p>
      <w:r>
        <w:rPr>
          <w:sz w:val="20"/>
        </w:rPr>
        <w:t>Share = theme asks ÷ all eligible audience asks in that year. The twelve shared categories omit execution/dataflow and precision/sparsity from the new historical reviews; original later taxonomies also have omitted families. Displayed shares therefore do not sum to100%.</w:t>
      </w:r>
    </w:p>
    <w:p>
      <w:r>
        <w:rPr>
          <w:sz w:val="20"/>
        </w:rPr>
        <w:t>2017–2021 includes tutorials and keynotes as well as technical sessions. Later reviews have different coverage and counting judgments; 2026 combines existing Slack and live-Q&amp;A evidence. Source profile, question opportunities and attribution differ. This is an exploratory comparison of reviewed evidence, not a controlled industry survey or adoption trend. No new Slack content was accessed.</w:t>
      </w:r>
    </w:p>
    <w:p>
      <w:hyperlink r:id="rId11">
        <w:r>
          <w:rPr>
            <w:color w:val="24516A"/>
          </w:rPr>
          <w:t xml:space="preserve">Interactive comparison, annual briefs and exact data</w:t>
        </w:r>
      </w:hyperlink>
    </w:p>
    <w:p>
      <w:r>
        <w:br w:type="page"/>
      </w:r>
    </w:p>
    <w:p>
      <w:pPr>
        <w:pStyle w:val="Heading1"/>
      </w:pPr>
      <w:r>
        <w:t>Patterns</w:t>
      </w:r>
    </w:p>
    <w:p>
      <w:r>
        <w:rPr>
          <w:b/>
        </w:rPr>
        <w:t xml:space="preserve">Data movement has a long history. </w:t>
      </w:r>
      <w:r>
        <w:t>2017 serial-memory and reduction-locality questions precede 2019 embeddings, 2020 memory economics and 2022 placement/coherence discussions. Later memory and fabric scrutiny develops an existing system problem, rather than establishing a new one.</w:t>
      </w:r>
    </w:p>
    <w:p>
      <w:r>
        <w:rPr>
          <w:b/>
        </w:rPr>
        <w:t xml:space="preserve">Software promises need operational proof. </w:t>
      </w:r>
      <w:r>
        <w:t>2017 manual FPGA partitioning, 2018 mapping friction and 2019 compiler/format choices precede 2020 relocation and the later runtime questions. Portability repeatedly depends on exact operators, placement and synchronization.</w:t>
      </w:r>
    </w:p>
    <w:p>
      <w:r>
        <w:rPr>
          <w:b/>
        </w:rPr>
        <w:t xml:space="preserve">Integration multiplies qualification gates. </w:t>
      </w:r>
      <w:r>
        <w:t>2017 EMIB access/test questions and 2019 stacked-die uncertainty precede later chiplet, cooling and optical serviceability scrutiny. Denser integration changes power, repair and failure boundaries as well as bandwidth.</w:t>
      </w:r>
    </w:p>
    <w:p>
      <w:r>
        <w:rPr>
          <w:b/>
        </w:rPr>
        <w:t xml:space="preserve">Trust boundaries remain architecture boundaries. </w:t>
      </w:r>
      <w:r>
        <w:t>2018 speculative-state isolation and 2020 encryption gaps show why coherent addressing or a security block is insufficient. Later shared-memory and ownership questions still require explicit agent privileges, state transitions and recovery contracts.</w:t>
      </w:r>
    </w:p>
    <w:p>
      <w:r>
        <w:rPr>
          <w:b/>
        </w:rPr>
        <w:t xml:space="preserve">Credible measurement is a recurring request. </w:t>
      </w:r>
      <w:r>
        <w:t>VM and timing definitions in 2017, energy boundaries in 2018, mismatched algorithms in 2019 and simulated photonics in 2020 precede later system-power and bandwidth questions. Useful comparisons require consistent workloads and accounting boundaries.</w:t>
      </w:r>
    </w:p>
    <w:p>
      <w:pPr>
        <w:pStyle w:val="Heading1"/>
      </w:pPr>
      <w:r>
        <w:t>Implications and concrete vendor asks</w:t>
      </w:r>
    </w:p>
    <w:p>
      <w:r>
        <w:rPr>
          <w:sz w:val="20"/>
        </w:rPr>
        <w:t>Analyst inference: these present-day acceptance tests follow from historical uncertainties. Historical statements and roadmap promises do not establish later delivery.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7286"/>
      </w:tblGrid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  <w:shd w:fill="E9EEF2"/>
          </w:tcPr>
          <w:p>
            <w:pPr>
              <w:spacing w:after="20" w:line="240" w:lineRule="auto"/>
            </w:pPr>
            <w:r>
              <w:rPr>
                <w:b/>
                <w:sz w:val="20"/>
              </w:rPr>
              <w:t>Decision and timing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  <w:shd w:fill="E9EEF2"/>
          </w:tcPr>
          <w:p>
            <w:pPr>
              <w:spacing w:after="20" w:line="240" w:lineRule="auto"/>
            </w:pPr>
            <w:r>
              <w:rPr>
                <w:b/>
                <w:sz w:val="20"/>
              </w:rPr>
              <w:t>Vendor ask and decision test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CPU/accelerator balance</w:t>
              <w:br/>
              <w:t>Before fleet sizing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Measure host work, memory placement and synchronization with the serving workload. Choose the configuration meeting throughput and tail latency at complete system cost.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Software readiness</w:t>
              <w:br/>
              <w:t>Before architecture commitment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Port an independent workload corpus. Count unsupported operators, placement changes, compilation tails and recovery work; require correctness and service targets without hidden fallback costs.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Fabric and memory tiers</w:t>
              <w:br/>
              <w:t>Before interface freeze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Specify ownership and ordering. Test mixed traffic, contention, remote accesses and faults, including transfer, flush and synchronization costs.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Physical and security readiness</w:t>
              <w:br/>
              <w:t>Before deployment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Request thermal/service limits and complete threat boundaries. Test degraded operation, repair paths, cross-context isolation and encrypted performance under sustained load.</w:t>
            </w:r>
          </w:p>
        </w:tc>
      </w:tr>
      <w:tr>
        <w:trPr>
          <w:cantSplit/>
        </w:trPr>
        <w:tc>
          <w:tcPr>
            <w:tcW w:type="dxa" w:w="2880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Vendor evidence contract</w:t>
              <w:br/>
              <w:t>Before comparative ranking</w:t>
            </w:r>
          </w:p>
        </w:tc>
        <w:tc>
          <w:tcPr>
            <w:tcW w:type="dxa" w:w="7286"/>
            <w:vAlign w:val="top"/>
            <w:tcMar>
              <w:top w:w="75" w:type="dxa"/>
              <w:left w:w="75" w:type="dxa"/>
              <w:bottom w:w="75" w:type="dxa"/>
              <w:right w:w="75" w:type="dxa"/>
            </w:tcMar>
            <w:tcBorders>
              <w:top w:val="single" w:sz="4" w:color="CCD3DA"/>
              <w:left w:val="single" w:sz="4" w:color="CCD3DA"/>
              <w:bottom w:val="single" w:sz="4" w:color="CCD3DA"/>
              <w:right w:val="single" w:sz="4" w:color="CCD3DA"/>
            </w:tcBorders>
          </w:tcPr>
          <w:p>
            <w:pPr>
              <w:spacing w:after="20" w:line="240" w:lineRule="auto"/>
            </w:pPr>
            <w:r>
              <w:rPr>
                <w:b w:val="0"/>
                <w:sz w:val="20"/>
              </w:rPr>
              <w:t>Separate measured, simulated and projected results. Match quality, workload, hardware/software and full energy boundaries; require reproducible absolute results beside ratios.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907" w:right="1037" w:bottom="864" w:left="1037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Hot Chips Q&amp;A research • 2 October 2026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45" w:lineRule="auto"/>
    </w:pPr>
    <w:rPr>
      <w:rFonts w:ascii="Calibri" w:hAnsi="Calibri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45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11111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 w:line="245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1111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5" w:lineRule="auto"/>
      <w:contextualSpacing/>
    </w:pPr>
    <w:rPr>
      <w:rFonts w:asciiTheme="majorHAnsi" w:eastAsiaTheme="majorEastAsia" w:hAnsiTheme="majorHAnsi" w:cstheme="majorBidi" w:ascii="Calibri" w:hAnsi="Calibri"/>
      <w:color w:val="111111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ai.wilwan01.chatgpt.site/hot-chips/trend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